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625" w:afterLines="200" w:line="579" w:lineRule="exact"/>
        <w:jc w:val="left"/>
        <w:textAlignment w:val="auto"/>
        <w:outlineLvl w:val="0"/>
        <w:rPr>
          <w:rFonts w:hint="eastAsia" w:ascii="黑体" w:hAnsi="黑体" w:eastAsia="黑体" w:cs="黑体"/>
          <w:b w:val="0"/>
          <w:bCs/>
          <w:sz w:val="32"/>
          <w:szCs w:val="32"/>
          <w:lang w:val="en-US" w:eastAsia="zh-CN"/>
        </w:rPr>
      </w:pPr>
      <w:bookmarkStart w:id="0" w:name="_Toc7457"/>
      <w:r>
        <w:rPr>
          <w:rFonts w:hint="eastAsia" w:ascii="黑体" w:hAnsi="黑体" w:eastAsia="黑体" w:cs="黑体"/>
          <w:b w:val="0"/>
          <w:bCs/>
          <w:sz w:val="32"/>
          <w:szCs w:val="32"/>
          <w:lang w:val="en-US" w:eastAsia="zh-CN"/>
        </w:rPr>
        <w:t>附件</w:t>
      </w:r>
      <w:bookmarkEnd w:id="0"/>
      <w:r>
        <w:rPr>
          <w:rFonts w:hint="eastAsia" w:ascii="黑体" w:hAnsi="黑体" w:eastAsia="黑体" w:cs="黑体"/>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《兴业银行南宁分行2025年</w:t>
      </w:r>
      <w:r>
        <w:rPr>
          <w:rFonts w:hint="eastAsia" w:ascii="宋体" w:hAnsi="宋体" w:cs="宋体"/>
          <w:b/>
          <w:sz w:val="44"/>
          <w:szCs w:val="44"/>
          <w:lang w:val="en-US" w:eastAsia="zh-CN"/>
        </w:rPr>
        <w:t>形象宣传品</w:t>
      </w:r>
      <w:r>
        <w:rPr>
          <w:rFonts w:hint="eastAsia" w:ascii="宋体" w:hAnsi="宋体" w:eastAsia="宋体" w:cs="宋体"/>
          <w:b/>
          <w:sz w:val="44"/>
          <w:szCs w:val="44"/>
          <w:lang w:val="en-US" w:eastAsia="zh-CN"/>
        </w:rPr>
        <w:t>采购项目》供应商征集反馈材料-公司名称（全称）</w:t>
      </w:r>
    </w:p>
    <w:p>
      <w:pPr>
        <w:ind w:left="0" w:leftChars="0" w:firstLine="0" w:firstLineChars="0"/>
        <w:jc w:val="center"/>
        <w:rPr>
          <w:rFonts w:hint="eastAsia" w:ascii="仿宋" w:hAnsi="仿宋" w:eastAsia="仿宋"/>
          <w:b/>
          <w:bCs/>
          <w:sz w:val="36"/>
          <w:szCs w:val="36"/>
          <w:lang w:val="en-US" w:eastAsia="zh-CN"/>
        </w:rPr>
      </w:pPr>
      <w:bookmarkStart w:id="2" w:name="_GoBack"/>
      <w:bookmarkEnd w:id="2"/>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FF0000"/>
          <w:sz w:val="32"/>
          <w:szCs w:val="32"/>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填写，“审核事项”中的各点，请和征集公告文档中的第一和第二部分要求一一对应。</w:t>
      </w:r>
      <w:r>
        <w:rPr>
          <w:rFonts w:hint="eastAsia" w:ascii="仿宋" w:hAnsi="仿宋" w:eastAsia="仿宋" w:cs="仿宋"/>
          <w:b w:val="0"/>
          <w:bCs w:val="0"/>
          <w:color w:val="FF0000"/>
          <w:sz w:val="32"/>
          <w:szCs w:val="32"/>
        </w:rPr>
        <w:t>“是否满足”和“基本情况说明”列由供应商填写。）</w:t>
      </w:r>
    </w:p>
    <w:p>
      <w:pPr>
        <w:pStyle w:val="2"/>
        <w:rPr>
          <w:rFonts w:hint="eastAsia" w:ascii="仿宋" w:hAnsi="仿宋" w:eastAsia="仿宋" w:cs="仿宋"/>
          <w:b w:val="0"/>
          <w:bCs w:val="0"/>
          <w:color w:val="000000" w:themeColor="text1"/>
          <w:sz w:val="32"/>
          <w:szCs w:val="32"/>
          <w14:textFill>
            <w14:solidFill>
              <w14:schemeClr w14:val="tx1"/>
            </w14:solidFill>
          </w14:textFill>
        </w:rPr>
      </w:pPr>
    </w:p>
    <w:p>
      <w:pPr>
        <w:pStyle w:val="4"/>
        <w:ind w:left="0" w:leftChars="0" w:firstLine="0" w:firstLineChars="0"/>
        <w:rPr>
          <w:rFonts w:hint="eastAsia" w:ascii="仿宋" w:hAnsi="仿宋" w:eastAsia="仿宋" w:cs="仿宋"/>
          <w:b w:val="0"/>
          <w:bCs w:val="0"/>
          <w:color w:val="000000" w:themeColor="text1"/>
          <w:sz w:val="32"/>
          <w:szCs w:val="32"/>
          <w14:textFill>
            <w14:solidFill>
              <w14:schemeClr w14:val="tx1"/>
            </w14:solidFill>
          </w14:textFill>
        </w:rPr>
      </w:pPr>
    </w:p>
    <w:p>
      <w:pPr>
        <w:pStyle w:val="4"/>
        <w:ind w:left="0" w:leftChars="0" w:firstLine="0" w:firstLineChars="0"/>
        <w:rPr>
          <w:rFonts w:hint="eastAsia" w:ascii="仿宋" w:hAnsi="仿宋" w:eastAsia="仿宋" w:cs="仿宋"/>
          <w:b w:val="0"/>
          <w:bCs w:val="0"/>
          <w:color w:val="000000" w:themeColor="text1"/>
          <w:sz w:val="32"/>
          <w:szCs w:val="32"/>
          <w14:textFill>
            <w14:solidFill>
              <w14:schemeClr w14:val="tx1"/>
            </w14:solidFill>
          </w14:textFill>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1.1采购需求</w:t>
            </w:r>
            <w:r>
              <w:rPr>
                <w:rFonts w:hint="eastAsia" w:ascii="仿宋" w:hAnsi="仿宋" w:eastAsia="仿宋" w:cs="仿宋"/>
                <w:b w:val="0"/>
                <w:bCs w:val="0"/>
                <w:sz w:val="28"/>
                <w:szCs w:val="28"/>
                <w:lang w:val="en-US" w:eastAsia="zh-CN"/>
              </w:rPr>
              <w:t xml:space="preserve">    </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bCs/>
                <w:kern w:val="2"/>
                <w:sz w:val="28"/>
                <w:szCs w:val="28"/>
                <w:lang w:val="en-US" w:eastAsia="zh-CN" w:bidi="ar"/>
              </w:rPr>
              <w:t>一是《兴业银行视觉识别系统手册（2023年7月修订）》中“公关系统”部分宣传品</w:t>
            </w:r>
            <w:r>
              <w:rPr>
                <w:rFonts w:hint="eastAsia" w:ascii="仿宋" w:hAnsi="仿宋" w:eastAsia="仿宋" w:cs="仿宋"/>
                <w:b w:val="0"/>
                <w:bCs w:val="0"/>
                <w:kern w:val="2"/>
                <w:sz w:val="28"/>
                <w:szCs w:val="28"/>
                <w:lang w:val="en-US" w:eastAsia="zh-CN" w:bidi="ar"/>
              </w:rPr>
              <w:t>，包括一次性纸杯、杯垫、环保袋、手提袋等。</w:t>
            </w:r>
            <w:r>
              <w:rPr>
                <w:rFonts w:hint="eastAsia" w:ascii="仿宋" w:hAnsi="仿宋" w:eastAsia="仿宋" w:cs="仿宋"/>
                <w:b/>
                <w:bCs/>
                <w:kern w:val="2"/>
                <w:sz w:val="28"/>
                <w:szCs w:val="28"/>
                <w:lang w:val="en-US" w:eastAsia="zh-CN" w:bidi="ar"/>
              </w:rPr>
              <w:t>二是文创类宣传品</w:t>
            </w:r>
            <w:r>
              <w:rPr>
                <w:rFonts w:hint="eastAsia" w:ascii="仿宋" w:hAnsi="仿宋" w:eastAsia="仿宋" w:cs="仿宋"/>
                <w:b w:val="0"/>
                <w:bCs w:val="0"/>
                <w:kern w:val="2"/>
                <w:sz w:val="28"/>
                <w:szCs w:val="28"/>
                <w:lang w:val="en-US" w:eastAsia="zh-CN" w:bidi="ar"/>
              </w:rPr>
              <w:t>，将兴业文化与广西非遗文化、民俗风情相结合的文创类宣传</w:t>
            </w:r>
            <w:r>
              <w:rPr>
                <w:rFonts w:hint="eastAsia" w:ascii="仿宋" w:hAnsi="仿宋" w:eastAsia="仿宋" w:cs="仿宋"/>
                <w:kern w:val="2"/>
                <w:sz w:val="28"/>
                <w:szCs w:val="28"/>
                <w:lang w:val="en-US" w:eastAsia="zh-CN" w:bidi="ar"/>
              </w:rPr>
              <w:t>品。</w:t>
            </w:r>
            <w:r>
              <w:rPr>
                <w:rFonts w:hint="eastAsia" w:ascii="仿宋" w:hAnsi="仿宋" w:eastAsia="仿宋" w:cs="仿宋"/>
                <w:b w:val="0"/>
                <w:bCs w:val="0"/>
                <w:sz w:val="28"/>
                <w:szCs w:val="28"/>
                <w:lang w:val="en-US" w:eastAsia="zh-CN"/>
              </w:rPr>
              <w:t xml:space="preserve">   </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服务要求</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rPr>
              <w:t>中标方应按合同</w:t>
            </w:r>
            <w:r>
              <w:rPr>
                <w:rFonts w:hint="eastAsia" w:ascii="仿宋" w:hAnsi="仿宋" w:eastAsia="仿宋" w:cs="仿宋"/>
                <w:sz w:val="28"/>
                <w:szCs w:val="28"/>
                <w:lang w:val="en-US" w:eastAsia="zh-CN"/>
              </w:rPr>
              <w:t>及</w:t>
            </w:r>
            <w:r>
              <w:rPr>
                <w:rFonts w:hint="eastAsia" w:ascii="仿宋" w:hAnsi="仿宋" w:eastAsia="仿宋" w:cs="仿宋"/>
                <w:b w:val="0"/>
                <w:bCs w:val="0"/>
                <w:kern w:val="2"/>
                <w:sz w:val="28"/>
                <w:szCs w:val="28"/>
                <w:lang w:val="en-US" w:eastAsia="zh-CN" w:bidi="ar"/>
              </w:rPr>
              <w:t>《兴业银行视觉识别系统手册（2023年7月修订）》</w:t>
            </w:r>
            <w:r>
              <w:rPr>
                <w:rFonts w:hint="eastAsia" w:ascii="仿宋" w:hAnsi="仿宋" w:eastAsia="仿宋" w:cs="仿宋"/>
                <w:sz w:val="28"/>
                <w:szCs w:val="28"/>
              </w:rPr>
              <w:t>约定</w:t>
            </w:r>
            <w:r>
              <w:rPr>
                <w:rFonts w:hint="eastAsia" w:ascii="仿宋" w:hAnsi="仿宋" w:eastAsia="仿宋" w:cs="仿宋"/>
                <w:sz w:val="28"/>
                <w:szCs w:val="28"/>
                <w:lang w:val="en-US" w:eastAsia="zh-CN"/>
              </w:rPr>
              <w:t>制作宣传品，确保制作质量，按时交付货品，提供完善的售后服务。</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 xml:space="preserve"> 企业成立1年以上，近三年财务稳健，可稳定提供服务。</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 xml:space="preserve"> </w:t>
            </w:r>
            <w:r>
              <w:rPr>
                <w:rFonts w:hint="eastAsia" w:ascii="仿宋" w:hAnsi="仿宋" w:eastAsia="仿宋" w:cs="仿宋"/>
                <w:sz w:val="28"/>
                <w:szCs w:val="28"/>
                <w:highlight w:val="none"/>
                <w:lang w:val="en-US" w:eastAsia="zh-CN"/>
              </w:rPr>
              <w:t>包括但不限于</w:t>
            </w:r>
            <w:r>
              <w:rPr>
                <w:rFonts w:hint="eastAsia" w:ascii="仿宋" w:hAnsi="仿宋" w:eastAsia="仿宋" w:cs="仿宋"/>
                <w:sz w:val="28"/>
                <w:szCs w:val="28"/>
                <w:highlight w:val="none"/>
              </w:rPr>
              <w:t>2021年</w:t>
            </w:r>
            <w:r>
              <w:rPr>
                <w:rFonts w:hint="eastAsia" w:ascii="仿宋" w:hAnsi="仿宋" w:eastAsia="仿宋" w:cs="仿宋"/>
                <w:sz w:val="28"/>
                <w:szCs w:val="28"/>
                <w:highlight w:val="none"/>
                <w:lang w:val="en-US" w:eastAsia="zh-CN"/>
              </w:rPr>
              <w:t>至今为政府部门、企事业单位或</w:t>
            </w:r>
            <w:r>
              <w:rPr>
                <w:rFonts w:hint="eastAsia" w:ascii="仿宋" w:hAnsi="仿宋" w:eastAsia="仿宋" w:cs="仿宋"/>
                <w:sz w:val="28"/>
                <w:szCs w:val="28"/>
                <w:highlight w:val="none"/>
              </w:rPr>
              <w:t>银行</w:t>
            </w:r>
            <w:r>
              <w:rPr>
                <w:rFonts w:hint="eastAsia" w:ascii="仿宋" w:hAnsi="仿宋" w:eastAsia="仿宋" w:cs="仿宋"/>
                <w:sz w:val="28"/>
                <w:szCs w:val="28"/>
                <w:highlight w:val="none"/>
                <w:lang w:val="en-US" w:eastAsia="zh-CN"/>
              </w:rPr>
              <w:t>提供的，</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项目相似</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成功</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案例。</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rPr>
              <w:t>2.1</w:t>
            </w:r>
            <w:r>
              <w:rPr>
                <w:rFonts w:hint="eastAsia" w:ascii="仿宋" w:hAnsi="仿宋" w:eastAsia="仿宋" w:cs="仿宋"/>
                <w:sz w:val="28"/>
                <w:szCs w:val="28"/>
                <w:lang w:val="en-US" w:eastAsia="zh-CN"/>
              </w:rPr>
              <w:t xml:space="preserve"> </w:t>
            </w:r>
            <w:bookmarkStart w:id="1" w:name="OLE_LINK1"/>
            <w:r>
              <w:rPr>
                <w:rFonts w:hint="eastAsia" w:ascii="仿宋" w:hAnsi="仿宋" w:eastAsia="仿宋" w:cs="仿宋"/>
                <w:i w:val="0"/>
                <w:iCs w:val="0"/>
                <w:color w:val="000000" w:themeColor="text1"/>
                <w:kern w:val="2"/>
                <w:sz w:val="28"/>
                <w:szCs w:val="28"/>
                <w:lang w:val="en-US" w:eastAsia="zh-CN"/>
                <w14:textFill>
                  <w14:solidFill>
                    <w14:schemeClr w14:val="tx1"/>
                  </w14:solidFill>
                </w14:textFill>
              </w:rPr>
              <w:t>依法成立，为存续、在营、开业、在册、登记成立等正常企业状态。</w:t>
            </w:r>
            <w:bookmarkEnd w:id="1"/>
            <w:r>
              <w:rPr>
                <w:rFonts w:hint="eastAsia" w:ascii="仿宋" w:hAnsi="仿宋" w:eastAsia="仿宋" w:cs="仿宋"/>
                <w:sz w:val="28"/>
                <w:szCs w:val="28"/>
                <w:lang w:val="en-US" w:eastAsia="zh-CN"/>
              </w:rPr>
              <w:t xml:space="preserve">  </w:t>
            </w:r>
            <w:r>
              <w:rPr>
                <w:rFonts w:hint="eastAsia" w:ascii="仿宋" w:hAnsi="仿宋" w:eastAsia="仿宋" w:cs="仿宋"/>
                <w:b w:val="0"/>
                <w:bCs w:val="0"/>
                <w:sz w:val="28"/>
                <w:szCs w:val="28"/>
                <w:lang w:val="en-US" w:eastAsia="zh-CN"/>
              </w:rPr>
              <w:t xml:space="preserve"> </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rPr>
              <w:t>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在兴业银行开立对公账户，若中标本项目，则通过兴业银行对公账户结算该项目相关费用。</w:t>
            </w:r>
            <w:r>
              <w:rPr>
                <w:rFonts w:hint="eastAsia" w:ascii="仿宋" w:hAnsi="仿宋" w:eastAsia="仿宋" w:cs="仿宋"/>
                <w:sz w:val="28"/>
                <w:szCs w:val="28"/>
                <w:lang w:val="en-US" w:eastAsia="zh-CN"/>
              </w:rPr>
              <w:t xml:space="preserve"> </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充分理解我行服务需求并能够根据需求提供相应的服务。</w:t>
            </w:r>
            <w:r>
              <w:rPr>
                <w:rFonts w:hint="eastAsia" w:ascii="仿宋" w:hAnsi="仿宋" w:eastAsia="仿宋" w:cs="仿宋"/>
                <w:sz w:val="28"/>
                <w:szCs w:val="28"/>
                <w:lang w:val="en-US" w:eastAsia="zh-CN"/>
              </w:rPr>
              <w:t xml:space="preserve"> </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val="en-US" w:eastAsia="zh-CN"/>
              </w:rPr>
              <w:t xml:space="preserve"> </w:t>
            </w:r>
            <w:r>
              <w:rPr>
                <w:rFonts w:hint="eastAsia" w:ascii="仿宋" w:hAnsi="仿宋" w:eastAsia="仿宋" w:cs="仿宋"/>
                <w:sz w:val="28"/>
                <w:szCs w:val="28"/>
              </w:rPr>
              <w:t>具有良好的商业</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"javascript:creditChatClick('%E4%BF%A1%E8%AA%89')" </w:instrText>
            </w:r>
            <w:r>
              <w:rPr>
                <w:rFonts w:hint="eastAsia" w:ascii="仿宋" w:hAnsi="仿宋" w:eastAsia="仿宋" w:cs="仿宋"/>
                <w:sz w:val="28"/>
                <w:szCs w:val="28"/>
              </w:rPr>
              <w:fldChar w:fldCharType="separate"/>
            </w:r>
            <w:r>
              <w:rPr>
                <w:rFonts w:hint="eastAsia" w:ascii="仿宋" w:hAnsi="仿宋" w:eastAsia="仿宋" w:cs="仿宋"/>
                <w:sz w:val="28"/>
                <w:szCs w:val="28"/>
              </w:rPr>
              <w:t>信誉</w:t>
            </w:r>
            <w:r>
              <w:rPr>
                <w:rFonts w:hint="eastAsia" w:ascii="仿宋" w:hAnsi="仿宋" w:eastAsia="仿宋" w:cs="仿宋"/>
                <w:sz w:val="28"/>
                <w:szCs w:val="28"/>
              </w:rPr>
              <w:fldChar w:fldCharType="end"/>
            </w:r>
            <w:r>
              <w:rPr>
                <w:rFonts w:hint="eastAsia" w:ascii="仿宋" w:hAnsi="仿宋" w:eastAsia="仿宋" w:cs="仿宋"/>
                <w:sz w:val="28"/>
                <w:szCs w:val="28"/>
              </w:rPr>
              <w:t>和</w:t>
            </w:r>
            <w:r>
              <w:rPr>
                <w:rFonts w:hint="eastAsia" w:ascii="仿宋" w:hAnsi="仿宋" w:eastAsia="仿宋" w:cs="仿宋"/>
                <w:sz w:val="28"/>
                <w:szCs w:val="28"/>
                <w:lang w:val="en-US" w:eastAsia="zh-CN"/>
              </w:rPr>
              <w:t>财务情况</w:t>
            </w:r>
            <w:r>
              <w:rPr>
                <w:rFonts w:hint="eastAsia" w:ascii="仿宋" w:hAnsi="仿宋" w:eastAsia="仿宋" w:cs="仿宋"/>
                <w:sz w:val="28"/>
                <w:szCs w:val="28"/>
              </w:rPr>
              <w:t>。</w:t>
            </w:r>
            <w:r>
              <w:rPr>
                <w:rFonts w:hint="eastAsia" w:ascii="仿宋" w:hAnsi="仿宋" w:eastAsia="仿宋" w:cs="仿宋"/>
                <w:b w:val="0"/>
                <w:bCs w:val="0"/>
                <w:sz w:val="28"/>
                <w:szCs w:val="28"/>
                <w:lang w:val="en-US" w:eastAsia="zh-CN"/>
              </w:rPr>
              <w:t xml:space="preserve"> </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pStyle w:val="2"/>
              <w:keepNext w:val="0"/>
              <w:keepLines w:val="0"/>
              <w:pageBreakBefore w:val="0"/>
              <w:widowControl w:val="0"/>
              <w:kinsoku/>
              <w:wordWrap/>
              <w:overflowPunct/>
              <w:bidi w:val="0"/>
              <w:snapToGrid/>
              <w:spacing w:after="0" w:line="579" w:lineRule="exact"/>
              <w:ind w:left="0" w:firstLine="0"/>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sz w:val="28"/>
                <w:szCs w:val="28"/>
                <w:lang w:val="en-US" w:eastAsia="zh-CN"/>
              </w:rPr>
              <w:t xml:space="preserve">2.5 </w:t>
            </w:r>
            <w:r>
              <w:rPr>
                <w:rFonts w:hint="eastAsia" w:ascii="仿宋" w:hAnsi="仿宋" w:eastAsia="仿宋" w:cs="仿宋"/>
                <w:kern w:val="2"/>
                <w:sz w:val="28"/>
                <w:szCs w:val="28"/>
                <w:lang w:val="en-US" w:eastAsia="zh-CN"/>
              </w:rPr>
              <w:t>依法缴纳税收和社会保障资金。</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 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val="0"/>
              <w:autoSpaceDE/>
              <w:autoSpaceDN/>
              <w:bidi w:val="0"/>
              <w:adjustRightInd/>
              <w:snapToGrid/>
              <w:spacing w:line="579" w:lineRule="exact"/>
              <w:ind w:right="0" w:rightChars="0"/>
              <w:jc w:val="left"/>
              <w:textAlignment w:val="auto"/>
              <w:outlineLvl w:val="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2.7 </w:t>
            </w:r>
            <w:r>
              <w:rPr>
                <w:rFonts w:hint="eastAsia" w:ascii="仿宋" w:hAnsi="仿宋" w:eastAsia="仿宋" w:cs="仿宋"/>
                <w:sz w:val="28"/>
                <w:szCs w:val="28"/>
                <w:lang w:val="en-US" w:eastAsia="zh-CN"/>
              </w:rPr>
              <w:t>经营范围经国家行政管理部门依法批准，同时获得从事行业有效执业证明、行政许可、专业资质等证照。</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2.8 </w:t>
            </w:r>
            <w:r>
              <w:rPr>
                <w:rFonts w:hint="eastAsia" w:ascii="仿宋" w:hAnsi="仿宋" w:eastAsia="仿宋" w:cs="仿宋"/>
                <w:sz w:val="28"/>
                <w:szCs w:val="28"/>
                <w:lang w:val="en-US" w:eastAsia="zh-CN"/>
              </w:rPr>
              <w:t>两年内目标服务领域未出现严重安全事件。</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0"/>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2021-2023年度开展的</w:t>
      </w:r>
      <w:r>
        <w:rPr>
          <w:rFonts w:hint="eastAsia" w:ascii="仿宋" w:hAnsi="仿宋" w:eastAsia="仿宋" w:cs="仿宋"/>
          <w:b w:val="0"/>
          <w:bCs w:val="0"/>
          <w:color w:val="FF0000"/>
          <w:sz w:val="32"/>
          <w:szCs w:val="32"/>
          <w:lang w:val="en-US" w:eastAsia="zh-CN"/>
        </w:rPr>
        <w:t>政府部门、企事业单位或</w:t>
      </w:r>
      <w:r>
        <w:rPr>
          <w:rFonts w:hint="eastAsia" w:ascii="仿宋" w:hAnsi="仿宋" w:eastAsia="仿宋" w:cs="仿宋"/>
          <w:b w:val="0"/>
          <w:bCs w:val="0"/>
          <w:color w:val="FF0000"/>
          <w:sz w:val="32"/>
          <w:szCs w:val="32"/>
        </w:rPr>
        <w:t>银行业</w:t>
      </w:r>
      <w:r>
        <w:rPr>
          <w:rFonts w:hint="eastAsia" w:ascii="仿宋" w:hAnsi="仿宋" w:eastAsia="仿宋" w:cs="仿宋"/>
          <w:b w:val="0"/>
          <w:bCs w:val="0"/>
          <w:color w:val="FF0000"/>
          <w:sz w:val="32"/>
          <w:szCs w:val="32"/>
          <w:lang w:val="en-US" w:eastAsia="zh-CN"/>
        </w:rPr>
        <w:t>宣传</w:t>
      </w:r>
      <w:r>
        <w:rPr>
          <w:rFonts w:hint="eastAsia" w:ascii="仿宋" w:hAnsi="仿宋" w:eastAsia="仿宋" w:cs="仿宋"/>
          <w:b w:val="0"/>
          <w:bCs w:val="0"/>
          <w:color w:val="FF0000"/>
          <w:sz w:val="32"/>
          <w:szCs w:val="32"/>
        </w:rPr>
        <w:t>服务项目</w:t>
      </w:r>
      <w:r>
        <w:rPr>
          <w:rFonts w:hint="eastAsia" w:ascii="仿宋" w:hAnsi="仿宋" w:eastAsia="仿宋" w:cs="仿宋"/>
          <w:b w:val="0"/>
          <w:bCs w:val="0"/>
          <w:sz w:val="32"/>
          <w:szCs w:val="32"/>
        </w:rPr>
        <w:t>》相关案例情况：</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7"/>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5111265"/>
    <w:rsid w:val="0D9F4777"/>
    <w:rsid w:val="0DED7F9F"/>
    <w:rsid w:val="0FCB4597"/>
    <w:rsid w:val="13DD0D7A"/>
    <w:rsid w:val="2C800AFF"/>
    <w:rsid w:val="2FB548BB"/>
    <w:rsid w:val="35A870B1"/>
    <w:rsid w:val="365B1D40"/>
    <w:rsid w:val="503B1E49"/>
    <w:rsid w:val="5966279D"/>
    <w:rsid w:val="5B4314E6"/>
    <w:rsid w:val="5CB001BB"/>
    <w:rsid w:val="5E3E5C60"/>
    <w:rsid w:val="69AF729A"/>
    <w:rsid w:val="75B06292"/>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link w:val="13"/>
    <w:qFormat/>
    <w:uiPriority w:val="0"/>
    <w:pPr>
      <w:tabs>
        <w:tab w:val="left" w:pos="0"/>
        <w:tab w:val="left" w:pos="993"/>
        <w:tab w:val="left" w:pos="1134"/>
      </w:tabs>
      <w:spacing w:line="312" w:lineRule="atLeast"/>
      <w:ind w:firstLine="420"/>
    </w:pPr>
  </w:style>
  <w:style w:type="paragraph" w:styleId="3">
    <w:name w:val="Body Text Indent"/>
    <w:basedOn w:val="1"/>
    <w:next w:val="2"/>
    <w:link w:val="15"/>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link w:val="12"/>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6">
    <w:name w:val="HTML Preformatted"/>
    <w:basedOn w:val="1"/>
    <w:semiHidden/>
    <w:qFormat/>
    <w:uiPriority w:val="0"/>
    <w:pPr>
      <w:topLinePunct w:val="0"/>
    </w:pPr>
    <w:rPr>
      <w:rFonts w:ascii="Courier New" w:hAnsi="Courier New" w:cs="Courier New"/>
      <w:sz w:val="2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首行缩进 21"/>
    <w:basedOn w:val="11"/>
    <w:link w:val="14"/>
    <w:qFormat/>
    <w:uiPriority w:val="0"/>
    <w:pPr>
      <w:widowControl/>
      <w:ind w:firstLine="420"/>
    </w:pPr>
    <w:rPr>
      <w:szCs w:val="20"/>
    </w:rPr>
  </w:style>
  <w:style w:type="paragraph" w:customStyle="1" w:styleId="11">
    <w:name w:val="正文文本缩进1"/>
    <w:basedOn w:val="1"/>
    <w:link w:val="16"/>
    <w:qFormat/>
    <w:uiPriority w:val="0"/>
    <w:pPr>
      <w:spacing w:line="500" w:lineRule="exact"/>
      <w:ind w:firstLine="880"/>
    </w:pPr>
    <w:rPr>
      <w:szCs w:val="22"/>
    </w:rPr>
  </w:style>
  <w:style w:type="character" w:customStyle="1" w:styleId="12">
    <w:name w:val="正文格式 Char"/>
    <w:link w:val="4"/>
    <w:uiPriority w:val="0"/>
    <w:rPr>
      <w:rFonts w:hint="default" w:ascii="宋体" w:hAnsi="宋体" w:eastAsia="彩虹粗仿宋" w:cs="Times New Roman"/>
      <w:kern w:val="2"/>
      <w:sz w:val="28"/>
      <w:szCs w:val="28"/>
      <w:lang w:val="en-US" w:eastAsia="zh-CN" w:bidi="ar"/>
    </w:rPr>
  </w:style>
  <w:style w:type="character" w:customStyle="1" w:styleId="13">
    <w:name w:val="正文首行缩进 2 Char"/>
    <w:link w:val="2"/>
    <w:uiPriority w:val="0"/>
  </w:style>
  <w:style w:type="character" w:customStyle="1" w:styleId="14">
    <w:name w:val="正文首行缩进 21 Char"/>
    <w:link w:val="10"/>
    <w:uiPriority w:val="0"/>
    <w:rPr>
      <w:szCs w:val="20"/>
    </w:rPr>
  </w:style>
  <w:style w:type="character" w:customStyle="1" w:styleId="15">
    <w:name w:val="正文文本缩进 Char"/>
    <w:link w:val="3"/>
    <w:uiPriority w:val="0"/>
    <w:rPr>
      <w:rFonts w:ascii="楷体_GB2312" w:eastAsia="楷体_GB2312"/>
      <w:kern w:val="0"/>
      <w:sz w:val="28"/>
      <w:szCs w:val="20"/>
    </w:rPr>
  </w:style>
  <w:style w:type="character" w:customStyle="1" w:styleId="16">
    <w:name w:val="正文文本缩进1 Char"/>
    <w:link w:val="11"/>
    <w:uiPriority w:val="0"/>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4</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金凤源</cp:lastModifiedBy>
  <dcterms:modified xsi:type="dcterms:W3CDTF">2025-03-04T07:55:26Z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